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DCD7" w14:textId="791B8318" w:rsidR="002A33B7" w:rsidRPr="00A06280" w:rsidRDefault="00A0628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КОМИССИЯ</w:t>
      </w:r>
    </w:p>
    <w:p w14:paraId="0D69FCAD" w14:textId="6E0261A4" w:rsidR="002A33B7" w:rsidRDefault="000427BC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дисциплине «Иностранный язык: Базовый курс» для студентов </w:t>
      </w:r>
      <w:r>
        <w:rPr>
          <w:rFonts w:ascii="Times New Roman" w:hAnsi="Times New Roman"/>
          <w:b/>
          <w:bCs/>
          <w:sz w:val="32"/>
          <w:szCs w:val="32"/>
        </w:rPr>
        <w:t>2 курса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F62343">
        <w:rPr>
          <w:rFonts w:ascii="Times New Roman" w:hAnsi="Times New Roman"/>
          <w:b/>
          <w:sz w:val="32"/>
          <w:szCs w:val="32"/>
        </w:rPr>
        <w:t>ИЭиТ</w:t>
      </w:r>
      <w:r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имеющих задолженность </w:t>
      </w:r>
      <w:r>
        <w:rPr>
          <w:rFonts w:ascii="Times New Roman" w:hAnsi="Times New Roman"/>
          <w:b/>
          <w:sz w:val="32"/>
          <w:szCs w:val="32"/>
          <w:highlight w:val="cyan"/>
        </w:rPr>
        <w:t>за 2 семестр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состоится </w:t>
      </w:r>
    </w:p>
    <w:p w14:paraId="360F20C9" w14:textId="54022131" w:rsidR="002A33B7" w:rsidRPr="00593060" w:rsidRDefault="00F62343">
      <w:pPr>
        <w:spacing w:after="0" w:line="360" w:lineRule="auto"/>
        <w:ind w:firstLine="709"/>
        <w:jc w:val="center"/>
        <w:rPr>
          <w:rFonts w:ascii="Times New Roman" w:hAnsi="Times New Roman"/>
          <w:sz w:val="36"/>
          <w:szCs w:val="32"/>
          <w:highlight w:val="green"/>
        </w:rPr>
      </w:pPr>
      <w:r w:rsidRPr="00593060">
        <w:rPr>
          <w:rFonts w:ascii="Times New Roman" w:hAnsi="Times New Roman"/>
          <w:b/>
          <w:bCs/>
          <w:sz w:val="36"/>
          <w:szCs w:val="32"/>
          <w:highlight w:val="cyan"/>
        </w:rPr>
        <w:t>25</w:t>
      </w:r>
      <w:r w:rsidR="000427BC" w:rsidRPr="00593060">
        <w:rPr>
          <w:rFonts w:ascii="Times New Roman" w:hAnsi="Times New Roman"/>
          <w:b/>
          <w:bCs/>
          <w:sz w:val="36"/>
          <w:szCs w:val="32"/>
          <w:highlight w:val="cyan"/>
        </w:rPr>
        <w:t xml:space="preserve"> </w:t>
      </w:r>
      <w:r w:rsidR="00A06280" w:rsidRPr="00593060">
        <w:rPr>
          <w:rFonts w:ascii="Times New Roman" w:hAnsi="Times New Roman"/>
          <w:b/>
          <w:bCs/>
          <w:sz w:val="36"/>
          <w:szCs w:val="32"/>
          <w:highlight w:val="cyan"/>
        </w:rPr>
        <w:t>октября</w:t>
      </w:r>
      <w:r w:rsidR="000427BC" w:rsidRPr="00593060">
        <w:rPr>
          <w:rFonts w:ascii="Times New Roman" w:hAnsi="Times New Roman"/>
          <w:b/>
          <w:bCs/>
          <w:sz w:val="36"/>
          <w:szCs w:val="32"/>
          <w:highlight w:val="cyan"/>
        </w:rPr>
        <w:t xml:space="preserve"> 202</w:t>
      </w:r>
      <w:r w:rsidR="00DA52A1" w:rsidRPr="00593060">
        <w:rPr>
          <w:rFonts w:ascii="Times New Roman" w:hAnsi="Times New Roman"/>
          <w:b/>
          <w:bCs/>
          <w:sz w:val="36"/>
          <w:szCs w:val="32"/>
          <w:highlight w:val="cyan"/>
        </w:rPr>
        <w:t>5</w:t>
      </w:r>
      <w:r w:rsidRPr="00593060">
        <w:rPr>
          <w:rFonts w:ascii="Times New Roman" w:hAnsi="Times New Roman"/>
          <w:b/>
          <w:bCs/>
          <w:sz w:val="36"/>
          <w:szCs w:val="32"/>
          <w:highlight w:val="cyan"/>
        </w:rPr>
        <w:t xml:space="preserve"> г. в 16:0</w:t>
      </w:r>
      <w:r w:rsidR="000427BC" w:rsidRPr="00593060">
        <w:rPr>
          <w:rFonts w:ascii="Times New Roman" w:hAnsi="Times New Roman"/>
          <w:b/>
          <w:bCs/>
          <w:sz w:val="36"/>
          <w:szCs w:val="32"/>
          <w:highlight w:val="cyan"/>
        </w:rPr>
        <w:t xml:space="preserve">0 </w:t>
      </w:r>
      <w:r w:rsidR="000427BC" w:rsidRPr="00593060">
        <w:rPr>
          <w:rFonts w:ascii="Times New Roman" w:hAnsi="Times New Roman"/>
          <w:b/>
          <w:bCs/>
          <w:sz w:val="36"/>
          <w:szCs w:val="32"/>
          <w:highlight w:val="green"/>
        </w:rPr>
        <w:t xml:space="preserve">в </w:t>
      </w:r>
      <w:r w:rsidR="00DA52A1" w:rsidRPr="00593060">
        <w:rPr>
          <w:rFonts w:ascii="Times New Roman" w:hAnsi="Times New Roman"/>
          <w:b/>
          <w:bCs/>
          <w:sz w:val="36"/>
          <w:szCs w:val="32"/>
          <w:highlight w:val="green"/>
        </w:rPr>
        <w:t xml:space="preserve">ауд. </w:t>
      </w:r>
      <w:r w:rsidRPr="00593060">
        <w:rPr>
          <w:rFonts w:ascii="Times New Roman" w:hAnsi="Times New Roman"/>
          <w:b/>
          <w:bCs/>
          <w:sz w:val="36"/>
          <w:szCs w:val="32"/>
          <w:highlight w:val="green"/>
        </w:rPr>
        <w:t>225 Главного здания</w:t>
      </w:r>
      <w:r w:rsidR="000427BC" w:rsidRPr="00593060">
        <w:rPr>
          <w:rFonts w:ascii="Times New Roman" w:hAnsi="Times New Roman"/>
          <w:b/>
          <w:bCs/>
          <w:sz w:val="36"/>
          <w:szCs w:val="32"/>
          <w:highlight w:val="green"/>
        </w:rPr>
        <w:t>.</w:t>
      </w:r>
    </w:p>
    <w:p w14:paraId="7D6991BD" w14:textId="77777777" w:rsidR="002A33B7" w:rsidRDefault="000427BC">
      <w:pPr>
        <w:spacing w:before="240"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Набранные в течение 2 семестра баллы и имеющиеся задолженности аннулируются. Для получения зачета за 2 семестр необходимо выполнить следующие задани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я:</w:t>
      </w:r>
    </w:p>
    <w:p w14:paraId="5608EDE1" w14:textId="77777777" w:rsidR="002A33B7" w:rsidRDefault="000427BC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1. Выполнить </w:t>
      </w:r>
      <w:r>
        <w:rPr>
          <w:rFonts w:ascii="Times New Roman" w:hAnsi="Times New Roman"/>
          <w:b/>
          <w:sz w:val="32"/>
          <w:szCs w:val="32"/>
        </w:rPr>
        <w:t xml:space="preserve">итоговый тест </w:t>
      </w:r>
      <w:r>
        <w:rPr>
          <w:rFonts w:ascii="Times New Roman" w:hAnsi="Times New Roman"/>
          <w:bCs/>
          <w:sz w:val="32"/>
          <w:szCs w:val="32"/>
        </w:rPr>
        <w:t xml:space="preserve">по материалам 2 семестра (аудирование, чтение, лексика, грамматика, письмо) </w:t>
      </w:r>
      <w:r>
        <w:rPr>
          <w:rFonts w:ascii="Times New Roman" w:hAnsi="Times New Roman"/>
          <w:b/>
          <w:i/>
          <w:iCs/>
          <w:sz w:val="32"/>
          <w:szCs w:val="32"/>
        </w:rPr>
        <w:t>минимум на 6 баллов из 10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  <w:u w:val="single"/>
        </w:rPr>
        <w:t>При выполнении теста на меньшее количество баллов студент не допускается к сдаче устного монолога и получает оценку «не зачтено»;</w:t>
      </w:r>
    </w:p>
    <w:p w14:paraId="2F9AB212" w14:textId="77777777" w:rsidR="002A33B7" w:rsidRDefault="000427BC">
      <w:pPr>
        <w:spacing w:before="240"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Подготовиться к </w:t>
      </w:r>
      <w:r>
        <w:rPr>
          <w:rFonts w:ascii="Times New Roman" w:hAnsi="Times New Roman"/>
          <w:b/>
          <w:bCs/>
          <w:sz w:val="32"/>
          <w:szCs w:val="32"/>
        </w:rPr>
        <w:t>устному ответу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одного из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4-х монологических высказываний</w:t>
      </w:r>
      <w:r>
        <w:rPr>
          <w:rFonts w:ascii="Times New Roman" w:hAnsi="Times New Roman"/>
          <w:sz w:val="32"/>
          <w:szCs w:val="32"/>
        </w:rPr>
        <w:t xml:space="preserve"> по темам 2 семестра, который необходимо будет ответить после написания теста. </w:t>
      </w:r>
    </w:p>
    <w:p w14:paraId="5CAE3481" w14:textId="77777777" w:rsidR="002A33B7" w:rsidRDefault="000427B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 себе иметь распечатанные конспекты всех 4-х монологов </w:t>
      </w:r>
      <w:r>
        <w:rPr>
          <w:rFonts w:ascii="Times New Roman" w:hAnsi="Times New Roman"/>
          <w:sz w:val="32"/>
          <w:szCs w:val="32"/>
          <w:highlight w:val="yellow"/>
        </w:rPr>
        <w:t>с выделенными лексическими единицами</w:t>
      </w:r>
      <w:r>
        <w:rPr>
          <w:rFonts w:ascii="Times New Roman" w:hAnsi="Times New Roman"/>
          <w:sz w:val="32"/>
          <w:szCs w:val="32"/>
        </w:rPr>
        <w:t xml:space="preserve">. Тема монолога определяется вытягиванием «билета». </w:t>
      </w:r>
    </w:p>
    <w:p w14:paraId="22211C25" w14:textId="77777777" w:rsidR="002A33B7" w:rsidRDefault="000427B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Время на подготовку к устному ответу: 1 минута. Время ответа: 2–4 минуты.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Минимально необходимое</w:t>
      </w:r>
      <w:r>
        <w:rPr>
          <w:rFonts w:ascii="Times New Roman" w:hAnsi="Times New Roman"/>
          <w:sz w:val="32"/>
          <w:szCs w:val="32"/>
        </w:rPr>
        <w:t xml:space="preserve"> количество баллов за устный ответ монолога – </w:t>
      </w:r>
      <w:r>
        <w:rPr>
          <w:rFonts w:ascii="Times New Roman" w:hAnsi="Times New Roman"/>
          <w:b/>
          <w:i/>
          <w:iCs/>
          <w:sz w:val="32"/>
          <w:szCs w:val="32"/>
        </w:rPr>
        <w:t>6 баллов из 10</w:t>
      </w:r>
      <w:r>
        <w:rPr>
          <w:rFonts w:ascii="Times New Roman" w:hAnsi="Times New Roman"/>
          <w:sz w:val="32"/>
          <w:szCs w:val="32"/>
        </w:rPr>
        <w:t>.</w:t>
      </w:r>
    </w:p>
    <w:p w14:paraId="6B4184C4" w14:textId="77777777" w:rsidR="002A33B7" w:rsidRDefault="000427BC">
      <w:pPr>
        <w:spacing w:before="240"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Критерии оценивания:</w:t>
      </w:r>
    </w:p>
    <w:p w14:paraId="4B8F3E6D" w14:textId="77777777" w:rsidR="002A33B7" w:rsidRDefault="000427B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0–11 баллов – «не зачтено»;</w:t>
      </w:r>
    </w:p>
    <w:p w14:paraId="515AB2BD" w14:textId="77777777" w:rsidR="002A33B7" w:rsidRDefault="000427B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12–20 баллов – «зачтено».</w:t>
      </w:r>
    </w:p>
    <w:sectPr w:rsidR="002A33B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6F59" w14:textId="77777777" w:rsidR="00432A7C" w:rsidRDefault="00432A7C">
      <w:pPr>
        <w:spacing w:after="0" w:line="240" w:lineRule="auto"/>
      </w:pPr>
      <w:r>
        <w:separator/>
      </w:r>
    </w:p>
  </w:endnote>
  <w:endnote w:type="continuationSeparator" w:id="0">
    <w:p w14:paraId="71C3CACC" w14:textId="77777777" w:rsidR="00432A7C" w:rsidRDefault="0043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10E9" w14:textId="77777777" w:rsidR="00432A7C" w:rsidRDefault="00432A7C">
      <w:pPr>
        <w:spacing w:after="0" w:line="240" w:lineRule="auto"/>
      </w:pPr>
      <w:r>
        <w:separator/>
      </w:r>
    </w:p>
  </w:footnote>
  <w:footnote w:type="continuationSeparator" w:id="0">
    <w:p w14:paraId="4D1BA0D5" w14:textId="77777777" w:rsidR="00432A7C" w:rsidRDefault="0043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678D"/>
    <w:multiLevelType w:val="hybridMultilevel"/>
    <w:tmpl w:val="9CA25E2C"/>
    <w:lvl w:ilvl="0" w:tplc="47E46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4B7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9ABC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8693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24FE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D21B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8EE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2894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FE22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B7"/>
    <w:rsid w:val="000427BC"/>
    <w:rsid w:val="002A33B7"/>
    <w:rsid w:val="00432A7C"/>
    <w:rsid w:val="00593060"/>
    <w:rsid w:val="00A06280"/>
    <w:rsid w:val="00DA52A1"/>
    <w:rsid w:val="00F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3365"/>
  <w15:docId w15:val="{E038F693-A3ED-43C1-A67E-093FB974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3716-767B-442F-927A-B1BDAA7B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Student</cp:lastModifiedBy>
  <cp:revision>4</cp:revision>
  <dcterms:created xsi:type="dcterms:W3CDTF">2025-10-06T13:46:00Z</dcterms:created>
  <dcterms:modified xsi:type="dcterms:W3CDTF">2025-10-06T13:46:00Z</dcterms:modified>
</cp:coreProperties>
</file>